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08509784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631D0A21" w:rsidR="00560BC2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13D">
              <w:rPr>
                <w:rFonts w:ascii="Arial" w:hAnsi="Arial" w:cs="Arial"/>
                <w:sz w:val="20"/>
                <w:szCs w:val="20"/>
              </w:rPr>
              <w:t>Urząd Marszałkowski Województwa Podkarpackiego w Rzeszowie</w:t>
            </w:r>
          </w:p>
          <w:p w14:paraId="1DEF451A" w14:textId="75752815" w:rsidR="00A26E0C" w:rsidRDefault="00A26E0C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 Łukasza Cieplińskiego 4,</w:t>
            </w:r>
          </w:p>
          <w:p w14:paraId="7F3AA81F" w14:textId="16D145F3" w:rsidR="00A26E0C" w:rsidRPr="00EA513D" w:rsidRDefault="00A26E0C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35010 Rzeszów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4722CD3" w:rsidR="00945AC5" w:rsidRPr="00EA513D" w:rsidRDefault="00EA513D" w:rsidP="0039185F">
            <w:pPr>
              <w:suppressAutoHyphens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13D">
              <w:rPr>
                <w:rFonts w:ascii="Arial" w:hAnsi="Arial" w:cs="Arial"/>
                <w:sz w:val="20"/>
                <w:szCs w:val="20"/>
              </w:rPr>
              <w:t>690587255</w:t>
            </w:r>
            <w:r w:rsidR="00C8171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0"/>
        <w:gridCol w:w="371"/>
        <w:gridCol w:w="348"/>
        <w:gridCol w:w="359"/>
        <w:gridCol w:w="371"/>
        <w:gridCol w:w="434"/>
        <w:gridCol w:w="359"/>
        <w:gridCol w:w="384"/>
        <w:gridCol w:w="371"/>
        <w:gridCol w:w="359"/>
        <w:gridCol w:w="359"/>
        <w:gridCol w:w="371"/>
        <w:gridCol w:w="359"/>
        <w:gridCol w:w="359"/>
        <w:gridCol w:w="371"/>
        <w:gridCol w:w="359"/>
        <w:gridCol w:w="276"/>
        <w:gridCol w:w="359"/>
        <w:gridCol w:w="276"/>
        <w:gridCol w:w="359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13D" w:rsidRPr="00847E8E" w14:paraId="363E7E78" w14:textId="77777777" w:rsidTr="00B25795">
        <w:tc>
          <w:tcPr>
            <w:tcW w:w="143" w:type="pct"/>
          </w:tcPr>
          <w:p w14:paraId="73DBA040" w14:textId="385B090A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A513D">
              <w:rPr>
                <w:rFonts w:ascii="Arial" w:hAnsi="Arial" w:cs="Arial"/>
              </w:rPr>
              <w:t>U</w:t>
            </w:r>
          </w:p>
        </w:tc>
        <w:tc>
          <w:tcPr>
            <w:tcW w:w="143" w:type="pct"/>
          </w:tcPr>
          <w:p w14:paraId="4B9FAF82" w14:textId="3DCF8C70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" w:type="pct"/>
          </w:tcPr>
          <w:p w14:paraId="481CFC99" w14:textId="116FD0A6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143" w:type="pct"/>
          </w:tcPr>
          <w:p w14:paraId="1B13426A" w14:textId="7A8A2F7A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3" w:type="pct"/>
          </w:tcPr>
          <w:p w14:paraId="4CE7A543" w14:textId="67516A90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3" w:type="pct"/>
          </w:tcPr>
          <w:p w14:paraId="6DBBE37D" w14:textId="63EE7023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143" w:type="pct"/>
          </w:tcPr>
          <w:p w14:paraId="5C131EAE" w14:textId="3485E392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3" w:type="pct"/>
          </w:tcPr>
          <w:p w14:paraId="648CE52E" w14:textId="0FAB8719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43" w:type="pct"/>
          </w:tcPr>
          <w:p w14:paraId="0C410C1A" w14:textId="097C92D7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3" w:type="pct"/>
          </w:tcPr>
          <w:p w14:paraId="3679F49F" w14:textId="00A9A761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43" w:type="pct"/>
          </w:tcPr>
          <w:p w14:paraId="7FAA53EC" w14:textId="5CCA90C8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3" w:type="pct"/>
          </w:tcPr>
          <w:p w14:paraId="44626E9C" w14:textId="2FCE7A53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" w:type="pct"/>
          </w:tcPr>
          <w:p w14:paraId="0F3A237A" w14:textId="305A5420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3" w:type="pct"/>
          </w:tcPr>
          <w:p w14:paraId="446FB9C4" w14:textId="5D668068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3" w:type="pct"/>
          </w:tcPr>
          <w:p w14:paraId="0D3661C2" w14:textId="3262D09A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43" w:type="pct"/>
          </w:tcPr>
          <w:p w14:paraId="7A5102E0" w14:textId="7EFBA027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43" w:type="pct"/>
          </w:tcPr>
          <w:p w14:paraId="10E83C72" w14:textId="17C50E77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3" w:type="pct"/>
          </w:tcPr>
          <w:p w14:paraId="386398A3" w14:textId="16D05CA8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A513D">
              <w:rPr>
                <w:rFonts w:ascii="Arial" w:hAnsi="Arial" w:cs="Arial"/>
              </w:rPr>
              <w:t>E</w:t>
            </w:r>
          </w:p>
        </w:tc>
        <w:tc>
          <w:tcPr>
            <w:tcW w:w="143" w:type="pct"/>
          </w:tcPr>
          <w:p w14:paraId="5FE37A08" w14:textId="7CFC76FA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43" w:type="pct"/>
          </w:tcPr>
          <w:p w14:paraId="34CD766C" w14:textId="06A6387C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3" w:type="pct"/>
          </w:tcPr>
          <w:p w14:paraId="4944EE31" w14:textId="543B6D01" w:rsidR="00F84D18" w:rsidRPr="00EA513D" w:rsidRDefault="00EA513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43" w:type="pct"/>
          </w:tcPr>
          <w:p w14:paraId="7472A949" w14:textId="77777777" w:rsidR="00F84D18" w:rsidRPr="00EA513D" w:rsidRDefault="00F84D18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2F48C98" w:rsidR="00B71689" w:rsidRPr="00847E8E" w:rsidRDefault="005E2FF6" w:rsidP="00EA51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EA513D">
              <w:rPr>
                <w:rFonts w:ascii="Arial" w:hAnsi="Arial" w:cs="Arial"/>
                <w:sz w:val="21"/>
                <w:szCs w:val="21"/>
              </w:rPr>
              <w:t>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D8BEB32" w:rsidR="00B71689" w:rsidRPr="00847E8E" w:rsidRDefault="005E2FF6" w:rsidP="00EA51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A26E0C">
              <w:rPr>
                <w:rFonts w:ascii="Arial" w:hAnsi="Arial" w:cs="Arial"/>
                <w:sz w:val="21"/>
                <w:szCs w:val="21"/>
              </w:rPr>
              <w:t>m. Rzeszów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69F6A3C9" w:rsidR="00B71689" w:rsidRPr="00847E8E" w:rsidRDefault="005E2FF6" w:rsidP="00EA51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EA513D" w:rsidRPr="00EA513D">
              <w:rPr>
                <w:rFonts w:ascii="Arial" w:hAnsi="Arial" w:cs="Arial"/>
                <w:sz w:val="21"/>
                <w:szCs w:val="21"/>
              </w:rPr>
              <w:t>Rzeszów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5E14E47B" w:rsidR="00175C03" w:rsidRPr="00847E8E" w:rsidRDefault="00EA513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07C30" w14:textId="0E8C7110" w:rsidR="0019672A" w:rsidRPr="004C409C" w:rsidRDefault="00EA5D48" w:rsidP="004C409C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271"/>
        <w:gridCol w:w="381"/>
        <w:gridCol w:w="101"/>
        <w:gridCol w:w="2431"/>
        <w:gridCol w:w="408"/>
        <w:gridCol w:w="302"/>
        <w:gridCol w:w="183"/>
        <w:gridCol w:w="2625"/>
        <w:gridCol w:w="40"/>
        <w:gridCol w:w="7"/>
        <w:gridCol w:w="45"/>
        <w:gridCol w:w="30"/>
        <w:gridCol w:w="548"/>
        <w:gridCol w:w="191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1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580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62F9F3F" w14:textId="77777777" w:rsidR="00A26E0C" w:rsidRPr="00A26E0C" w:rsidRDefault="00A26E0C" w:rsidP="00A26E0C">
            <w:pPr>
              <w:spacing w:after="0" w:line="12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26E0C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  <w:p w14:paraId="10ACC189" w14:textId="1BFD1F90" w:rsidR="002B0C8B" w:rsidRPr="00847E8E" w:rsidRDefault="002B0C8B" w:rsidP="00A26E0C">
            <w:pPr>
              <w:spacing w:after="0" w:line="12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4DC30527" w:rsidR="003B4E3E" w:rsidRPr="00847E8E" w:rsidRDefault="00C207B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1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7D163E3F" w:rsidR="003B4E3E" w:rsidRPr="00847E8E" w:rsidRDefault="00C207B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5F8F3E65" w:rsidR="00160AF4" w:rsidRPr="00847E8E" w:rsidRDefault="00C207B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EA513D">
        <w:tc>
          <w:tcPr>
            <w:tcW w:w="4383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2547060" w:rsidR="00E1782F" w:rsidRPr="00847E8E" w:rsidRDefault="0000393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EA513D">
        <w:tc>
          <w:tcPr>
            <w:tcW w:w="4383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C7F00CE" w14:textId="77777777" w:rsidTr="00233FF7">
        <w:tc>
          <w:tcPr>
            <w:tcW w:w="5000" w:type="pct"/>
            <w:gridSpan w:val="16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EA513D">
        <w:tc>
          <w:tcPr>
            <w:tcW w:w="12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046B2EE5" w:rsidR="004E1844" w:rsidRPr="00847E8E" w:rsidRDefault="005E4E7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61CFCB6" w:rsidR="004E1844" w:rsidRPr="00847E8E" w:rsidRDefault="005E4E7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163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EA513D">
        <w:tc>
          <w:tcPr>
            <w:tcW w:w="4364" w:type="pct"/>
            <w:gridSpan w:val="9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636" w:type="pct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BBCD180" w14:textId="77777777" w:rsidR="00BC37DE" w:rsidRPr="005E4E7F" w:rsidRDefault="00BC37DE" w:rsidP="00F34B52">
            <w:pPr>
              <w:spacing w:before="20" w:after="20" w:line="211" w:lineRule="auto"/>
              <w:rPr>
                <w:rFonts w:ascii="Arial" w:hAnsi="Arial" w:cs="Arial"/>
                <w:sz w:val="20"/>
                <w:szCs w:val="20"/>
              </w:rPr>
            </w:pPr>
            <w:r w:rsidRPr="005E4E7F">
              <w:rPr>
                <w:rFonts w:ascii="Arial" w:hAnsi="Arial" w:cs="Arial"/>
                <w:sz w:val="20"/>
                <w:szCs w:val="20"/>
              </w:rPr>
              <w:t xml:space="preserve">1. Z powodu nie dostosowania budynku przy ul. Poniatowskiego 6, gdzie mieści się Biuro Oddziału Programu Współpracy Transgranicznej POLSKA - BIAŁORUŚ - UKRAINA 2014-2020 w Rzeszowie – na parterze budynku przy al. Ł. Cieplińskiego 4 został przygotowany pokój numer 039 F do obsługi tych osób, które po wcześniejszym ustaleniu terminu wizyty z pracownikami Biura, będą przyjmowani w wyznaczonym pokoju. </w:t>
            </w:r>
          </w:p>
          <w:p w14:paraId="4D66C23E" w14:textId="77777777" w:rsidR="00BC37DE" w:rsidRPr="005E4E7F" w:rsidRDefault="00BC37DE" w:rsidP="00F34B52">
            <w:pPr>
              <w:spacing w:before="20" w:after="20" w:line="211" w:lineRule="auto"/>
              <w:rPr>
                <w:rFonts w:ascii="Arial" w:hAnsi="Arial" w:cs="Arial"/>
                <w:sz w:val="20"/>
                <w:szCs w:val="20"/>
              </w:rPr>
            </w:pPr>
            <w:r w:rsidRPr="005E4E7F">
              <w:rPr>
                <w:rFonts w:ascii="Arial" w:hAnsi="Arial" w:cs="Arial"/>
                <w:sz w:val="20"/>
                <w:szCs w:val="20"/>
              </w:rPr>
              <w:t>2.W sali konferencyjnej znajdującej się w głównym budynku Urzędu przy Alei Łukasza Cieplińskiego 4 jest system na podczerwień IR wspomagający słyszenie za pomocą słuchawek.</w:t>
            </w:r>
          </w:p>
          <w:p w14:paraId="1CFE809B" w14:textId="58793A6C" w:rsidR="00BC37DE" w:rsidRPr="005E4E7F" w:rsidRDefault="00BC37DE" w:rsidP="00F34B52">
            <w:pPr>
              <w:spacing w:before="20" w:after="20" w:line="211" w:lineRule="auto"/>
              <w:rPr>
                <w:rFonts w:ascii="Arial" w:hAnsi="Arial" w:cs="Arial"/>
                <w:sz w:val="20"/>
                <w:szCs w:val="20"/>
              </w:rPr>
            </w:pPr>
            <w:r w:rsidRPr="005E4E7F">
              <w:rPr>
                <w:rFonts w:ascii="Arial" w:hAnsi="Arial" w:cs="Arial"/>
                <w:sz w:val="20"/>
                <w:szCs w:val="20"/>
              </w:rPr>
              <w:t xml:space="preserve">3. Osoby Głuche i niedosłyszące przy załatwianiu spraw mogą skorzystać z usługi tłumacza na wezwanie – tłumacza polskiego języka migowego (PJM), za pomocą dedykowanej strony: </w:t>
            </w:r>
            <w:hyperlink r:id="rId13" w:history="1">
              <w:r w:rsidRPr="005E4E7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https://www.podkarpackie.pl/index.php/122-uncategorised/8013-pjm-urzad</w:t>
              </w:r>
            </w:hyperlink>
            <w:r w:rsidRPr="005E4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24106C" w14:textId="7A36A255" w:rsidR="00F34B52" w:rsidRPr="00847E8E" w:rsidRDefault="00BC37DE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5E4E7F">
              <w:rPr>
                <w:rFonts w:ascii="Arial" w:hAnsi="Arial" w:cs="Arial"/>
                <w:sz w:val="20"/>
                <w:szCs w:val="20"/>
              </w:rPr>
              <w:t>4. Pracownicy portierni/pracownicy Lokalnych Punktów Informacyjnych Funduszy Europejskich przekazują informację o rozmieszczeniu budynków głosowo.</w:t>
            </w:r>
            <w:r w:rsidRPr="00BC37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D65DA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AD57C8">
              <w:rPr>
                <w:rFonts w:ascii="Arial" w:hAnsi="Arial" w:cs="Arial"/>
                <w:sz w:val="18"/>
                <w:szCs w:val="18"/>
              </w:rPr>
              <w:t>18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C69D8C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EA513D" w:rsidRPr="00EA513D">
              <w:rPr>
                <w:rFonts w:ascii="Arial" w:hAnsi="Arial" w:cs="Arial"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D57C8" w:rsidRPr="00847E8E" w14:paraId="3A9CE7C4" w14:textId="77777777" w:rsidTr="00003939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DCC8394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bip.podkarpackie.pl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67DB682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45FD218C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2020-09-15</w:t>
            </w:r>
          </w:p>
        </w:tc>
      </w:tr>
      <w:tr w:rsidR="00AD57C8" w:rsidRPr="00847E8E" w14:paraId="3DA5CEA8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08742634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eko.podkarpackie.pl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6269241F" w:rsidR="00AD57C8" w:rsidRPr="00847E8E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1AFCDE84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14371DA9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6AEA5D26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ekogala.eu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769BA7B4" w:rsidR="00AD57C8" w:rsidRPr="00847E8E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1F11B95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2020-09-18</w:t>
            </w:r>
          </w:p>
        </w:tc>
      </w:tr>
      <w:tr w:rsidR="00AD57C8" w:rsidRPr="00847E8E" w14:paraId="2030643B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3C0466DA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ewt.podkarpackie.pl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4C7D9A8D" w:rsidR="00AD57C8" w:rsidRPr="00847E8E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49BC14B8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2020-09-23</w:t>
            </w:r>
          </w:p>
        </w:tc>
      </w:tr>
      <w:tr w:rsidR="00AD57C8" w:rsidRPr="00847E8E" w14:paraId="1D24982C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F753A" w14:textId="0FEA9057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fundusze.podkarpackie.pl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0E28D" w14:textId="099EFE4D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002B5" w14:textId="4F73BEC5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2020-09-22</w:t>
            </w:r>
          </w:p>
        </w:tc>
      </w:tr>
      <w:tr w:rsidR="00AD57C8" w:rsidRPr="00847E8E" w14:paraId="34992CBD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E8F3A" w14:textId="34B01699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odnowawsi.podkarpackie.pl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9633D" w14:textId="338E72BE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0D35C" w14:textId="266A62EF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3CB24CE2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630F7" w14:textId="625FBFE0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podkarpackie.eu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1598F" w14:textId="7AD4A149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59717" w14:textId="5A623CB8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2020-09-23</w:t>
            </w:r>
          </w:p>
        </w:tc>
      </w:tr>
      <w:tr w:rsidR="00AD57C8" w:rsidRPr="00847E8E" w14:paraId="10D29720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C59CA" w14:textId="0E50DB7B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D4C22" w14:textId="4A3C6B8C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6EA591" w14:textId="05C04D24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2020-09-15</w:t>
            </w:r>
          </w:p>
        </w:tc>
      </w:tr>
      <w:tr w:rsidR="00AD57C8" w:rsidRPr="00847E8E" w14:paraId="5E8A1224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3CB65" w14:textId="4F00AEC3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prow.podkarpackie.pl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EA5F3" w14:textId="4EF8ECCE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14753" w14:textId="3D5C1FF1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2020-09-17</w:t>
            </w:r>
          </w:p>
        </w:tc>
      </w:tr>
      <w:tr w:rsidR="00AD57C8" w:rsidRPr="00847E8E" w14:paraId="50648BEA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6EADB" w14:textId="683D47B4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rot.podkarpackie.pl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CD675" w14:textId="427D64DD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C2CEE" w14:textId="12422D6E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2020-09-17</w:t>
            </w:r>
          </w:p>
        </w:tc>
      </w:tr>
      <w:tr w:rsidR="00AD57C8" w:rsidRPr="00847E8E" w14:paraId="1D826EC2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86799" w14:textId="11F4AE91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rpo.podkarpackie.pl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8B3F63" w14:textId="5F934F45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B7488" w14:textId="0FD59660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77848F83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FCACA" w14:textId="72D9B2E9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rsi.podkarpackie.pl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377B5" w14:textId="3154F3DE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C429CD" w14:textId="0FF6AA4F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5CB10D16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27FF7" w14:textId="24B1845D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ryby.podkarpackie.pl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3E572" w14:textId="231C5169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62186" w14:textId="04F04C7B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401FFE97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FE50E" w14:textId="492FB708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sejmik.podkarpackie.pl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2F852" w14:textId="106BE0BF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D1809" w14:textId="11B2AB81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222290B3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6C14C" w14:textId="468D802D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tarcza.podkarpackie.pl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23D4D" w14:textId="1599AA53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691C1" w14:textId="0E6A3CC6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2020-09-22</w:t>
            </w:r>
          </w:p>
        </w:tc>
      </w:tr>
      <w:tr w:rsidR="00AD57C8" w:rsidRPr="00847E8E" w14:paraId="3D8C11E5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25164" w14:textId="3D7B291F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zamowieniarpo.podkarpackie.pl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952C1" w14:textId="4327E8B3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887F66" w14:textId="1CAA214B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2020-10-02</w:t>
            </w:r>
          </w:p>
        </w:tc>
      </w:tr>
      <w:tr w:rsidR="00AD57C8" w:rsidRPr="00847E8E" w14:paraId="7F10A791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74D9E" w14:textId="38E55DE2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podkarpackiedzieciom.pl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896E8D" w14:textId="6D16FDDB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3145B" w14:textId="45CBF7E9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2020-12-09</w:t>
            </w:r>
          </w:p>
        </w:tc>
      </w:tr>
      <w:tr w:rsidR="00AD57C8" w:rsidRPr="00847E8E" w14:paraId="7A01F9BF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974F0" w14:textId="524F75DA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psim.podkarpackie.pl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8006A" w14:textId="2615AACE" w:rsidR="00AD57C8" w:rsidRPr="00635967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4CB8E" w14:textId="3CF2924B" w:rsidR="00AD57C8" w:rsidRPr="00AD57C8" w:rsidRDefault="00AD57C8" w:rsidP="00AD57C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57C8">
              <w:rPr>
                <w:rFonts w:ascii="Arial" w:hAnsi="Arial" w:cs="Arial"/>
                <w:sz w:val="18"/>
                <w:szCs w:val="18"/>
              </w:rPr>
              <w:t>2020-10-07</w:t>
            </w:r>
          </w:p>
        </w:tc>
      </w:tr>
      <w:tr w:rsidR="00AD57C8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AD57C8" w:rsidRPr="00847E8E" w:rsidRDefault="00AD57C8" w:rsidP="00AD57C8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 mobilnych, dla których po</w:t>
            </w:r>
            <w:r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AD57C8" w:rsidRPr="00847E8E" w:rsidRDefault="00AD57C8" w:rsidP="00AD57C8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4DC6FB4" w:rsidR="00AD57C8" w:rsidRPr="00847E8E" w:rsidRDefault="00AD57C8" w:rsidP="00AD57C8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AD57C8">
              <w:rPr>
                <w:rFonts w:ascii="Arial" w:hAnsi="Arial" w:cs="Arial"/>
                <w:sz w:val="18"/>
                <w:szCs w:val="18"/>
              </w:rPr>
              <w:t>9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AD57C8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AD57C8" w:rsidRPr="00847E8E" w:rsidRDefault="00AD57C8" w:rsidP="00AD57C8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AD57C8" w:rsidRPr="00847E8E" w:rsidRDefault="00AD57C8" w:rsidP="00AD57C8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7B6160B" w:rsidR="00AD57C8" w:rsidRPr="00847E8E" w:rsidRDefault="00AD57C8" w:rsidP="00AD57C8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AD57C8">
              <w:rPr>
                <w:rFonts w:ascii="Arial" w:hAnsi="Arial" w:cs="Arial"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AD57C8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AD57C8" w:rsidRPr="00847E8E" w:rsidRDefault="00AD57C8" w:rsidP="00AD57C8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AD57C8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D57C8" w:rsidRPr="00847E8E" w:rsidRDefault="00AD57C8" w:rsidP="00AD57C8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D57C8" w:rsidRPr="00847E8E" w:rsidRDefault="00AD57C8" w:rsidP="00AD57C8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AD57C8" w:rsidRPr="00847E8E" w14:paraId="3F46F43F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5F36FEF6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intranet.podkarpackie.pl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14A24AE5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3CBB6633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56191583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gw.podkarpackie.pl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32C0DEB0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286F62B1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1B5B24D3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lastRenderedPageBreak/>
              <w:t>kresymuzeum.pl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AD57C8" w:rsidRPr="00847E8E" w:rsidRDefault="00AD57C8" w:rsidP="00AD57C8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2F4D3CE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4E8D4A79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367820" w14:textId="12A06B27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prow2007-2013.podkarpackie.pl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B4602" w14:textId="4A8BEC31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98128" w14:textId="74F0FC3F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CCD1D9" w14:textId="5C0A0508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B1E0B" w14:textId="15C3C83F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C45EB" w14:textId="69D9F736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30B81" w14:textId="69EDC46E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AD57C8" w:rsidRPr="00847E8E" w14:paraId="67A72BCE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EF27B" w14:textId="2F3B68FF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rpo2007-2013.podkarpackie.pl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90916" w14:textId="65642B61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E77DF" w14:textId="4EE12119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9688C" w14:textId="2DBF9566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FCA817" w14:textId="182AF770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93D1E" w14:textId="261799F0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A7BAC" w14:textId="727957CA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AD57C8" w:rsidRPr="00847E8E" w14:paraId="4E0B3374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87221" w14:textId="1537D076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rpo2007-2013forum.podkarpackie.pl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F0BDE" w14:textId="6288E542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7201C" w14:textId="38D01195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7B18F" w14:textId="213F5D98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37732" w14:textId="16F6493E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06E24" w14:textId="01648BC5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E1EA9" w14:textId="529DFD07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3F66E790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22727" w14:textId="1944FFD5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srb.podkarpackie.pl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4B359" w14:textId="39F4F163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12F4E" w14:textId="04DD3FA8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0923D" w14:textId="36DFB798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26EBE7" w14:textId="3F931876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4CA2B" w14:textId="091E4355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CB7E1" w14:textId="185B3B6E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08A71D61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E5B52" w14:textId="0717545E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szlakmaryjny.podkarpackie.pl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925B17" w14:textId="523F6F11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D5654" w14:textId="6694CF57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5873E" w14:textId="75E33995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22E3E" w14:textId="2925086F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4B666" w14:textId="0CC1552E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6318A" w14:textId="4AD629DB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0125D558" w14:textId="77777777" w:rsidTr="00003939">
        <w:tc>
          <w:tcPr>
            <w:tcW w:w="13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1EC618" w14:textId="250C404A" w:rsidR="00AD57C8" w:rsidRPr="00AD57C8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>szlakunesco.podkarpackie.pl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3C29" w14:textId="690021A8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AD670" w14:textId="45181999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183BE" w14:textId="489AEE2E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7EFEE" w14:textId="7AB02E41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C6A7C" w14:textId="53EB61C2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DD58A" w14:textId="50518C6A" w:rsidR="00AD57C8" w:rsidRPr="00847E8E" w:rsidRDefault="00AD57C8" w:rsidP="00AD57C8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EA513D"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AD57C8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AD57C8" w:rsidRPr="00847E8E" w:rsidRDefault="00AD57C8" w:rsidP="00AD57C8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AD57C8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AD57C8" w:rsidRPr="00847E8E" w:rsidRDefault="00AD57C8" w:rsidP="00AD57C8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AD57C8" w:rsidRPr="00847E8E" w:rsidRDefault="00AD57C8" w:rsidP="00AD57C8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AD57C8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AD57C8" w:rsidRPr="00847E8E" w:rsidRDefault="00AD57C8" w:rsidP="00AD57C8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AD57C8" w:rsidRPr="00847E8E" w:rsidRDefault="00AD57C8" w:rsidP="00AD57C8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AD57C8" w:rsidRPr="00847E8E" w:rsidRDefault="00AD57C8" w:rsidP="00AD57C8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AD57C8" w:rsidRPr="00847E8E" w:rsidRDefault="00AD57C8" w:rsidP="00AD57C8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AD57C8" w:rsidRPr="00847E8E" w:rsidRDefault="00AD57C8" w:rsidP="00AD57C8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AD57C8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AD57C8" w:rsidRPr="00847E8E" w:rsidRDefault="00AD57C8" w:rsidP="00AD57C8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AD57C8" w:rsidRPr="00847E8E" w:rsidRDefault="00AD57C8" w:rsidP="00AD57C8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AD57C8" w:rsidRPr="00847E8E" w:rsidRDefault="00AD57C8" w:rsidP="00AD57C8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5DFBC66" w14:textId="77777777" w:rsidR="00AD57C8" w:rsidRPr="00AD57C8" w:rsidRDefault="00AD57C8" w:rsidP="00AD57C8">
            <w:pPr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 xml:space="preserve">1. Wszystkie strony posiadające deklarację dostępności są częściowo zgodne przede wszystkim z powodu niedostosowania zasobów, w tym udostępnianych plików Microsoft Office i Acrobat (pliki nie posiadają struktury nagłówkowej, są skanami), zdjęć (obrazy nie posiadają opisu alternatywnego) i filmów. Strona z pozycji 17 jest stroną okazjonalną. </w:t>
            </w:r>
          </w:p>
          <w:p w14:paraId="234B7C62" w14:textId="77777777" w:rsidR="00AD57C8" w:rsidRPr="00AD57C8" w:rsidRDefault="00AD57C8" w:rsidP="00AD57C8">
            <w:pPr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hAnsi="Arial" w:cs="Arial"/>
                <w:sz w:val="20"/>
                <w:szCs w:val="20"/>
              </w:rPr>
              <w:t xml:space="preserve">2. Ze stron nie posiadający deklaracji dostępności pozycje 3, 8 i 9 mają walory kulturalne a strony 2, 4, 5 i 6 to strony archiwalne programów regionalnych dodatkowo strona z pozycji 3 będzie zmieniana i wyłączona na czas zmian. </w:t>
            </w:r>
          </w:p>
          <w:p w14:paraId="6B4C725C" w14:textId="287043A4" w:rsidR="00AD57C8" w:rsidRPr="00847E8E" w:rsidRDefault="00AD57C8" w:rsidP="00AD57C8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5FFA589C" w:rsidR="00DE4A0F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044080E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B3EF16A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015DC8F1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43394649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42C47332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35EE9A55" w:rsidR="009A09A3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78EEF06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="0069239A"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62742592" w:rsidR="006F6156" w:rsidRPr="00847E8E" w:rsidRDefault="00003939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B0DC51E" w:rsidR="0097326B" w:rsidRPr="00847E8E" w:rsidRDefault="00D24806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5372F746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D53FD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DD71EC6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D24806">
              <w:rPr>
                <w:rFonts w:ascii="Times New Roman" w:hAnsi="Times New Roman"/>
                <w:i/>
                <w:sz w:val="18"/>
                <w:szCs w:val="18"/>
              </w:rPr>
              <w:t>27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EFA3E71" w:rsidR="003B20D3" w:rsidRPr="00847E8E" w:rsidRDefault="0093722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06898037" w:rsidR="00E856AA" w:rsidRPr="00847E8E" w:rsidRDefault="0093722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4086E3B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3722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05B03971" w:rsidR="00E856AA" w:rsidRPr="00847E8E" w:rsidRDefault="0093722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498622A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3722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F02765B" w:rsidR="001B6639" w:rsidRPr="00847E8E" w:rsidRDefault="00AD57C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325121B3" w:rsidR="00AD57C8" w:rsidRPr="00847E8E" w:rsidRDefault="00532594" w:rsidP="00AD57C8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DF4640D" w14:textId="6B2F59A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07A6F24B" w:rsidR="00695809" w:rsidRPr="00847E8E" w:rsidRDefault="00AD57C8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2B24C4DF" w:rsidR="00AD57C8" w:rsidRPr="00847E8E" w:rsidRDefault="00F814A2" w:rsidP="00AD57C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F13CB5" w14:textId="35A862EB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45E71B4" w:rsidR="00F814A2" w:rsidRPr="00847E8E" w:rsidRDefault="00AD57C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4C5A0CC3" w:rsidR="00AD57C8" w:rsidRPr="00847E8E" w:rsidRDefault="004326D2" w:rsidP="00AD57C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54B04F9" w14:textId="58459B5E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85302FF" w:rsidR="007661D4" w:rsidRPr="00847E8E" w:rsidRDefault="00AD57C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3DDA930B" w:rsidR="00AD57C8" w:rsidRPr="00847E8E" w:rsidRDefault="007661D4" w:rsidP="00AD57C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20E048C" w14:textId="2C8360AB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4640C145" w:rsidR="007661D4" w:rsidRPr="00847E8E" w:rsidRDefault="00AD57C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☑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ECE23BA" w:rsidR="00AD57C8" w:rsidRPr="00993C77" w:rsidRDefault="007661D4" w:rsidP="00AD57C8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719D75" w14:textId="0547D1B6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0945DD40" w:rsidR="00AD57C8" w:rsidRPr="00847E8E" w:rsidRDefault="007661D4" w:rsidP="00AD57C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8AE1A7" w14:textId="453D949A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6"/>
        <w:gridCol w:w="263"/>
        <w:gridCol w:w="317"/>
        <w:gridCol w:w="326"/>
        <w:gridCol w:w="335"/>
        <w:gridCol w:w="335"/>
        <w:gridCol w:w="317"/>
        <w:gridCol w:w="326"/>
        <w:gridCol w:w="334"/>
        <w:gridCol w:w="325"/>
        <w:gridCol w:w="325"/>
        <w:gridCol w:w="325"/>
        <w:gridCol w:w="382"/>
        <w:gridCol w:w="325"/>
        <w:gridCol w:w="344"/>
        <w:gridCol w:w="334"/>
        <w:gridCol w:w="325"/>
        <w:gridCol w:w="325"/>
        <w:gridCol w:w="334"/>
        <w:gridCol w:w="325"/>
        <w:gridCol w:w="325"/>
        <w:gridCol w:w="334"/>
        <w:gridCol w:w="325"/>
        <w:gridCol w:w="262"/>
        <w:gridCol w:w="325"/>
        <w:gridCol w:w="262"/>
        <w:gridCol w:w="307"/>
        <w:gridCol w:w="316"/>
        <w:gridCol w:w="220"/>
        <w:gridCol w:w="220"/>
        <w:gridCol w:w="220"/>
        <w:gridCol w:w="220"/>
        <w:gridCol w:w="220"/>
        <w:gridCol w:w="220"/>
        <w:gridCol w:w="220"/>
      </w:tblGrid>
      <w:tr w:rsidR="00C81717" w:rsidRPr="00847E8E" w14:paraId="18AA6317" w14:textId="77777777" w:rsidTr="00FF3ED3">
        <w:tc>
          <w:tcPr>
            <w:tcW w:w="110" w:type="pct"/>
          </w:tcPr>
          <w:p w14:paraId="174BF549" w14:textId="66D5A8D0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4" w:type="pct"/>
          </w:tcPr>
          <w:p w14:paraId="1D3ACAED" w14:textId="58167DC4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44" w:type="pct"/>
          </w:tcPr>
          <w:p w14:paraId="73879E71" w14:textId="47759305" w:rsidR="00FF3ED3" w:rsidRPr="00EA513D" w:rsidRDefault="00C81717" w:rsidP="00C8171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44" w:type="pct"/>
          </w:tcPr>
          <w:p w14:paraId="34D645AB" w14:textId="06F21DBF" w:rsidR="00FF3ED3" w:rsidRPr="00EA513D" w:rsidRDefault="00C81717" w:rsidP="00C8171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4" w:type="pct"/>
          </w:tcPr>
          <w:p w14:paraId="1B3B8B43" w14:textId="708B4E37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4" w:type="pct"/>
          </w:tcPr>
          <w:p w14:paraId="565A5085" w14:textId="7F073710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44" w:type="pct"/>
          </w:tcPr>
          <w:p w14:paraId="61CFED95" w14:textId="50065FAF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144" w:type="pct"/>
          </w:tcPr>
          <w:p w14:paraId="00DA6338" w14:textId="2E165FC3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4" w:type="pct"/>
          </w:tcPr>
          <w:p w14:paraId="551D1902" w14:textId="48991661" w:rsidR="00FF3ED3" w:rsidRPr="00EA513D" w:rsidRDefault="00C81717" w:rsidP="00C8171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4" w:type="pct"/>
          </w:tcPr>
          <w:p w14:paraId="58554E5F" w14:textId="75B49BF5" w:rsidR="00FF3ED3" w:rsidRPr="00EA513D" w:rsidRDefault="00C81717" w:rsidP="00C8171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44" w:type="pct"/>
          </w:tcPr>
          <w:p w14:paraId="5BAC8659" w14:textId="43DE4D2D" w:rsidR="00FF3ED3" w:rsidRPr="00EA513D" w:rsidRDefault="00C81717" w:rsidP="00C8171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44" w:type="pct"/>
          </w:tcPr>
          <w:p w14:paraId="04AAFD7F" w14:textId="346AD884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" w:type="pct"/>
          </w:tcPr>
          <w:p w14:paraId="2ECB9999" w14:textId="7B7D9B18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144" w:type="pct"/>
          </w:tcPr>
          <w:p w14:paraId="53D05FB8" w14:textId="1CB3F0EA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" w:type="pct"/>
          </w:tcPr>
          <w:p w14:paraId="7BF4E736" w14:textId="3E2E0AF6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44" w:type="pct"/>
          </w:tcPr>
          <w:p w14:paraId="7D570CDB" w14:textId="076763ED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4" w:type="pct"/>
          </w:tcPr>
          <w:p w14:paraId="0F9532B6" w14:textId="2471256F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44" w:type="pct"/>
          </w:tcPr>
          <w:p w14:paraId="69C71B0D" w14:textId="23B5DEDB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" w:type="pct"/>
          </w:tcPr>
          <w:p w14:paraId="16659EA3" w14:textId="13332EA2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4" w:type="pct"/>
          </w:tcPr>
          <w:p w14:paraId="53838FAE" w14:textId="2D90C3BC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" w:type="pct"/>
          </w:tcPr>
          <w:p w14:paraId="792BF673" w14:textId="25B1D6B2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" w:type="pct"/>
          </w:tcPr>
          <w:p w14:paraId="269A9DBA" w14:textId="32862483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44" w:type="pct"/>
          </w:tcPr>
          <w:p w14:paraId="14A1BD78" w14:textId="5F3371C1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44" w:type="pct"/>
          </w:tcPr>
          <w:p w14:paraId="1BEE505B" w14:textId="539FF3D8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4" w:type="pct"/>
          </w:tcPr>
          <w:p w14:paraId="208D6989" w14:textId="3A5A938A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4" w:type="pct"/>
          </w:tcPr>
          <w:p w14:paraId="6C166244" w14:textId="3FDAE874" w:rsidR="00FF3ED3" w:rsidRPr="00EA513D" w:rsidRDefault="00C81717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44" w:type="pct"/>
          </w:tcPr>
          <w:p w14:paraId="31C4BF11" w14:textId="4C148361" w:rsidR="00FF3ED3" w:rsidRPr="00847E8E" w:rsidRDefault="00C8171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3E2CC76" w14:textId="4A0106E4" w:rsidR="00FF3ED3" w:rsidRPr="00847E8E" w:rsidRDefault="00C8171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54FE143F" w:rsidR="00FF3ED3" w:rsidRPr="00EA513D" w:rsidRDefault="00EA513D" w:rsidP="00FF3ED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722D">
              <w:rPr>
                <w:rFonts w:ascii="Arial" w:hAnsi="Arial" w:cs="Arial"/>
                <w:sz w:val="20"/>
                <w:szCs w:val="20"/>
              </w:rPr>
              <w:t>017 850 17 00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4E0750AA" w:rsidR="00FF3ED3" w:rsidRPr="003326A2" w:rsidRDefault="00C81717" w:rsidP="00FF3ED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Rzeszów, 25</w:t>
            </w:r>
            <w:r w:rsidR="003326A2" w:rsidRPr="0093722D">
              <w:rPr>
                <w:rFonts w:ascii="Arial" w:hAnsi="Arial" w:cs="Arial"/>
                <w:sz w:val="20"/>
                <w:szCs w:val="20"/>
              </w:rPr>
              <w:t>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6E16" w14:textId="77777777" w:rsidR="000C6356" w:rsidRDefault="000C6356" w:rsidP="005840AE">
      <w:pPr>
        <w:spacing w:after="0" w:line="240" w:lineRule="auto"/>
      </w:pPr>
      <w:r>
        <w:separator/>
      </w:r>
    </w:p>
  </w:endnote>
  <w:endnote w:type="continuationSeparator" w:id="0">
    <w:p w14:paraId="76E42794" w14:textId="77777777" w:rsidR="000C6356" w:rsidRDefault="000C635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59D9" w14:textId="77777777" w:rsidR="000C6356" w:rsidRDefault="000C6356" w:rsidP="005840AE">
      <w:pPr>
        <w:spacing w:after="0" w:line="240" w:lineRule="auto"/>
      </w:pPr>
      <w:r>
        <w:separator/>
      </w:r>
    </w:p>
  </w:footnote>
  <w:footnote w:type="continuationSeparator" w:id="0">
    <w:p w14:paraId="33F927E5" w14:textId="77777777" w:rsidR="000C6356" w:rsidRDefault="000C635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A26E0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A26E0C" w:rsidRPr="00A32D2F" w:rsidRDefault="00A26E0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A26E0C" w:rsidRPr="00D141F2" w:rsidRDefault="00A26E0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5E7B85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A26E0C" w:rsidRPr="008F642B" w:rsidRDefault="00A26E0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2F5"/>
    <w:multiLevelType w:val="hybridMultilevel"/>
    <w:tmpl w:val="E1AE60B4"/>
    <w:lvl w:ilvl="0" w:tplc="B2EC7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3939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A5053"/>
    <w:rsid w:val="000B01AD"/>
    <w:rsid w:val="000B11B3"/>
    <w:rsid w:val="000B2675"/>
    <w:rsid w:val="000B391D"/>
    <w:rsid w:val="000C0EEB"/>
    <w:rsid w:val="000C6356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5CC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26A2"/>
    <w:rsid w:val="00333FC6"/>
    <w:rsid w:val="0033606C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C1C45"/>
    <w:rsid w:val="004C409C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E4E7F"/>
    <w:rsid w:val="005E7B85"/>
    <w:rsid w:val="005F044F"/>
    <w:rsid w:val="005F049A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239A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713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722D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D53FD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26E0C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1E34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7C8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5EDF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5D30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1260"/>
    <w:rsid w:val="00BC2FED"/>
    <w:rsid w:val="00BC37DE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1032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7B2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717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4806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13D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4528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EBEB77CD-F0C4-4B08-A53C-711D5D0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BC37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3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odkarpackie.pl/index.php/122-uncategorised/8013-pjm-urzad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A941BD92-F28D-4AFC-AF5A-7F449BD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4131</Words>
  <Characters>24787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UMWP</dc:title>
  <dc:creator>Nocko Agnieszka</dc:creator>
  <cp:lastModifiedBy>Gieroń Mirosław</cp:lastModifiedBy>
  <cp:revision>4</cp:revision>
  <cp:lastPrinted>2018-01-10T11:08:00Z</cp:lastPrinted>
  <dcterms:created xsi:type="dcterms:W3CDTF">2021-03-31T08:26:00Z</dcterms:created>
  <dcterms:modified xsi:type="dcterms:W3CDTF">2021-03-31T08:33:00Z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